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PartName="/word/footer_cfo.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left"/>
      </w:pPr>
      <w:r>
        <w:rPr>
          <w:b/>
          <w:bCs/>
          <w:color w:val="1E2761"/>
          <w:sz w:val="56"/>
          <w:szCs w:val="56"/>
        </w:rPr>
        <w:t xml:space="preserve">Internal Controls Framework</w:t>
      </w:r>
    </w:p>
    <w:p>
      <w:pPr>
        <w:spacing w:after="120"/>
      </w:pPr>
      <w:r>
        <w:rPr>
          <w:i/>
          <w:iCs/>
          <w:color w:val="666666"/>
        </w:rPr>
        <w:t xml:space="preserve">Version 1.0  ·  Owner: [CFO / Controller]  ·  Last updated: [YYYY-MM-DD]</w:t>
      </w:r>
    </w:p>
    <w:p>
      <w:pPr>
        <w:spacing w:after="120"/>
      </w:pPr>
      <w:r>
        <w:t xml:space="preserve">This framework describes how the company designs, operates and monitors internal controls over financial reporting (ICFR). It is built on the COSO 2013 framework, scaled for small and mid-sized businesses.</w:t>
      </w:r>
    </w:p>
    <w:p>
      <w:pPr>
        <w:pStyle w:val="Heading1"/>
      </w:pPr>
      <w:r>
        <w:t xml:space="preserve">1. Purpose</w:t>
      </w:r>
    </w:p>
    <w:p>
      <w:pPr>
        <w:spacing w:after="120"/>
      </w:pPr>
      <w:r>
        <w:t xml:space="preserve">The purpose of this framework is to provide reasonable assurance regarding:</w:t>
      </w:r>
    </w:p>
    <w:p>
      <w:pPr>
        <w:pStyle w:val="ListParagraph"/>
        <w:numPr>
          <w:ilvl w:val="0"/>
          <w:numId w:val="2"/>
        </w:numPr>
      </w:pPr>
      <w:r>
        <w:t xml:space="preserve">Reliability of financial reporting (internal and external)</w:t>
      </w:r>
    </w:p>
    <w:p>
      <w:pPr>
        <w:pStyle w:val="ListParagraph"/>
        <w:numPr>
          <w:ilvl w:val="0"/>
          <w:numId w:val="2"/>
        </w:numPr>
      </w:pPr>
      <w:r>
        <w:t xml:space="preserve">Effectiveness and efficiency of operations</w:t>
      </w:r>
    </w:p>
    <w:p>
      <w:pPr>
        <w:pStyle w:val="ListParagraph"/>
        <w:numPr>
          <w:ilvl w:val="0"/>
          <w:numId w:val="2"/>
        </w:numPr>
      </w:pPr>
      <w:r>
        <w:t xml:space="preserve">Compliance with applicable laws and regulations</w:t>
      </w:r>
    </w:p>
    <w:p>
      <w:pPr>
        <w:pStyle w:val="ListParagraph"/>
        <w:numPr>
          <w:ilvl w:val="0"/>
          <w:numId w:val="2"/>
        </w:numPr>
      </w:pPr>
      <w:r>
        <w:t xml:space="preserve">Safeguarding of assets against fraud and error</w:t>
      </w:r>
    </w:p>
    <w:p>
      <w:pPr>
        <w:pStyle w:val="Heading1"/>
      </w:pPr>
      <w:r>
        <w:t xml:space="preserve">2. Scope</w:t>
      </w:r>
    </w:p>
    <w:p>
      <w:pPr>
        <w:spacing w:after="120"/>
      </w:pPr>
      <w:r>
        <w:t xml:space="preserve">This framework covers the following financial reporting cycles:</w:t>
      </w:r>
    </w:p>
    <w:p>
      <w:pPr>
        <w:pStyle w:val="ListParagraph"/>
        <w:numPr>
          <w:ilvl w:val="0"/>
          <w:numId w:val="2"/>
        </w:numPr>
      </w:pPr>
      <w:r>
        <w:t xml:space="preserve">Order-to-Cash (O2C)</w:t>
      </w:r>
    </w:p>
    <w:p>
      <w:pPr>
        <w:pStyle w:val="ListParagraph"/>
        <w:numPr>
          <w:ilvl w:val="0"/>
          <w:numId w:val="2"/>
        </w:numPr>
      </w:pPr>
      <w:r>
        <w:t xml:space="preserve">Purchase-to-Pay (P2P)</w:t>
      </w:r>
    </w:p>
    <w:p>
      <w:pPr>
        <w:pStyle w:val="ListParagraph"/>
        <w:numPr>
          <w:ilvl w:val="0"/>
          <w:numId w:val="2"/>
        </w:numPr>
      </w:pPr>
      <w:r>
        <w:t xml:space="preserve">Payroll &amp; HR master data</w:t>
      </w:r>
    </w:p>
    <w:p>
      <w:pPr>
        <w:pStyle w:val="ListParagraph"/>
        <w:numPr>
          <w:ilvl w:val="0"/>
          <w:numId w:val="2"/>
        </w:numPr>
      </w:pPr>
      <w:r>
        <w:t xml:space="preserve">Period-end close, journals and reporting</w:t>
      </w:r>
    </w:p>
    <w:p>
      <w:pPr>
        <w:pStyle w:val="ListParagraph"/>
        <w:numPr>
          <w:ilvl w:val="0"/>
          <w:numId w:val="2"/>
        </w:numPr>
      </w:pPr>
      <w:r>
        <w:t xml:space="preserve">Treasury, bank and payments</w:t>
      </w:r>
    </w:p>
    <w:p>
      <w:pPr>
        <w:pStyle w:val="ListParagraph"/>
        <w:numPr>
          <w:ilvl w:val="0"/>
          <w:numId w:val="2"/>
        </w:numPr>
      </w:pPr>
      <w:r>
        <w:t xml:space="preserve">Tax &amp; VAT</w:t>
      </w:r>
    </w:p>
    <w:p>
      <w:pPr>
        <w:pStyle w:val="ListParagraph"/>
        <w:numPr>
          <w:ilvl w:val="0"/>
          <w:numId w:val="2"/>
        </w:numPr>
      </w:pPr>
      <w:r>
        <w:t xml:space="preserve">IT General Controls (logical access, change management, operations)</w:t>
      </w:r>
    </w:p>
    <w:p>
      <w:pPr>
        <w:pStyle w:val="Heading1"/>
      </w:pPr>
      <w:r>
        <w:t xml:space="preserve">3. Governance and roles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single" w:color="CCCCCC" w:sz="4"/>
              <w:left w:val="single" w:color="CCCCCC" w:sz="4"/>
              <w:bottom w:val="single" w:color="CCCCCC" w:sz="4"/>
              <w:right w:val="single" w:color="CCCCCC" w:sz="4"/>
            </w:tcBorders>
            <w:shd w:fill="1E2761" w:val="clear"/>
            <w:tcMar>
              <w:top w:type="dxa" w:w="80"/>
              <w:left w:type="dxa" w:w="120"/>
              <w:bottom w:type="dxa" w:w="80"/>
              <w:right w:type="dxa" w:w="120"/>
            </w:tcMar>
          </w:tcPr>
          <w:p>
            <w:r>
              <w:rPr>
                <w:b/>
                <w:bCs/>
                <w:color w:val="FFFFFF"/>
                <w:sz w:val="18"/>
                <w:szCs w:val="18"/>
              </w:rPr>
              <w:t xml:space="preserve">Role</w:t>
            </w:r>
          </w:p>
        </w:tc>
        <w:tc>
          <w:tcPr>
            <w:tcW w:type="dxa" w:w="4513"/>
            <w:tcBorders>
              <w:top w:val="single" w:color="CCCCCC" w:sz="4"/>
              <w:left w:val="single" w:color="CCCCCC" w:sz="4"/>
              <w:bottom w:val="single" w:color="CCCCCC" w:sz="4"/>
              <w:right w:val="single" w:color="CCCCCC" w:sz="4"/>
            </w:tcBorders>
            <w:shd w:fill="1E2761" w:val="clear"/>
            <w:tcMar>
              <w:top w:type="dxa" w:w="80"/>
              <w:left w:type="dxa" w:w="120"/>
              <w:bottom w:type="dxa" w:w="80"/>
              <w:right w:type="dxa" w:w="120"/>
            </w:tcMar>
          </w:tcPr>
          <w:p>
            <w:r>
              <w:rPr>
                <w:b/>
                <w:bCs/>
                <w:color w:val="FFFFFF"/>
                <w:sz w:val="18"/>
                <w:szCs w:val="18"/>
              </w:rPr>
              <w:t xml:space="preserve">Responsibility</w:t>
            </w:r>
          </w:p>
        </w:tc>
      </w:tr>
      <w:tr>
        <w:tc>
          <w:tcPr>
            <w:tcW w:type="dxa" w:w="4513"/>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b w:val="false"/>
                <w:bCs w:val="false"/>
                <w:color w:val="000000"/>
                <w:sz w:val="18"/>
                <w:szCs w:val="18"/>
              </w:rPr>
              <w:t xml:space="preserve">Board / Audit committee</w:t>
            </w:r>
          </w:p>
        </w:tc>
        <w:tc>
          <w:tcPr>
            <w:tcW w:type="dxa" w:w="4513"/>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b w:val="false"/>
                <w:bCs w:val="false"/>
                <w:color w:val="000000"/>
                <w:sz w:val="18"/>
                <w:szCs w:val="18"/>
              </w:rPr>
              <w:t xml:space="preserve">Oversight of the control environment; reviews quarterly status.</w:t>
            </w:r>
          </w:p>
        </w:tc>
      </w:tr>
      <w:tr>
        <w:tc>
          <w:tcPr>
            <w:tcW w:type="dxa" w:w="4513"/>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b w:val="false"/>
                <w:bCs w:val="false"/>
                <w:color w:val="000000"/>
                <w:sz w:val="18"/>
                <w:szCs w:val="18"/>
              </w:rPr>
              <w:t xml:space="preserve">CFO</w:t>
            </w:r>
          </w:p>
        </w:tc>
        <w:tc>
          <w:tcPr>
            <w:tcW w:type="dxa" w:w="4513"/>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b w:val="false"/>
                <w:bCs w:val="false"/>
                <w:color w:val="000000"/>
                <w:sz w:val="18"/>
                <w:szCs w:val="18"/>
              </w:rPr>
              <w:t xml:space="preserve">Owns the framework; signs off risk register and key control results.</w:t>
            </w:r>
          </w:p>
        </w:tc>
      </w:tr>
      <w:tr>
        <w:tc>
          <w:tcPr>
            <w:tcW w:type="dxa" w:w="4513"/>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b w:val="false"/>
                <w:bCs w:val="false"/>
                <w:color w:val="000000"/>
                <w:sz w:val="18"/>
                <w:szCs w:val="18"/>
              </w:rPr>
              <w:t xml:space="preserve">Controller</w:t>
            </w:r>
          </w:p>
        </w:tc>
        <w:tc>
          <w:tcPr>
            <w:tcW w:type="dxa" w:w="4513"/>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b w:val="false"/>
                <w:bCs w:val="false"/>
                <w:color w:val="000000"/>
                <w:sz w:val="18"/>
                <w:szCs w:val="18"/>
              </w:rPr>
              <w:t xml:space="preserve">Maintains controls matrix, runs walkthroughs, performs/coordinates testing.</w:t>
            </w:r>
          </w:p>
        </w:tc>
      </w:tr>
      <w:tr>
        <w:tc>
          <w:tcPr>
            <w:tcW w:type="dxa" w:w="4513"/>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b w:val="false"/>
                <w:bCs w:val="false"/>
                <w:color w:val="000000"/>
                <w:sz w:val="18"/>
                <w:szCs w:val="18"/>
              </w:rPr>
              <w:t xml:space="preserve">Process owners (AP/AR, HR, IT)</w:t>
            </w:r>
          </w:p>
        </w:tc>
        <w:tc>
          <w:tcPr>
            <w:tcW w:type="dxa" w:w="4513"/>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b w:val="false"/>
                <w:bCs w:val="false"/>
                <w:color w:val="000000"/>
                <w:sz w:val="18"/>
                <w:szCs w:val="18"/>
              </w:rPr>
              <w:t xml:space="preserve">Operate the controls within their cycle.</w:t>
            </w:r>
          </w:p>
        </w:tc>
      </w:tr>
      <w:tr>
        <w:tc>
          <w:tcPr>
            <w:tcW w:type="dxa" w:w="4513"/>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b w:val="false"/>
                <w:bCs w:val="false"/>
                <w:color w:val="000000"/>
                <w:sz w:val="18"/>
                <w:szCs w:val="18"/>
              </w:rPr>
              <w:t xml:space="preserve">Internal audit (if any)</w:t>
            </w:r>
          </w:p>
        </w:tc>
        <w:tc>
          <w:tcPr>
            <w:tcW w:type="dxa" w:w="4513"/>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b w:val="false"/>
                <w:bCs w:val="false"/>
                <w:color w:val="000000"/>
                <w:sz w:val="18"/>
                <w:szCs w:val="18"/>
              </w:rPr>
              <w:t xml:space="preserve">Independent re-performance of selected key controls.</w:t>
            </w:r>
          </w:p>
        </w:tc>
      </w:tr>
    </w:tbl>
    <w:p>
      <w:pPr>
        <w:pStyle w:val="Heading1"/>
      </w:pPr>
      <w:r>
        <w:t xml:space="preserve">4. The COSO components in this framework</w:t>
      </w:r>
    </w:p>
    <w:p>
      <w:pPr>
        <w:pStyle w:val="Heading2"/>
      </w:pPr>
      <w:r>
        <w:t xml:space="preserve">4.1 Control environment</w:t>
      </w:r>
    </w:p>
    <w:p>
      <w:pPr>
        <w:spacing w:after="120"/>
      </w:pPr>
      <w:r>
        <w:t xml:space="preserve">Tone at the top, ethics, organisation, competence and accountability. Reinforced through the Code of Conduct, segregation of duties and clear job descriptions.</w:t>
      </w:r>
    </w:p>
    <w:p>
      <w:pPr>
        <w:pStyle w:val="Heading2"/>
      </w:pPr>
      <w:r>
        <w:t xml:space="preserve">4.2 Risk assessment</w:t>
      </w:r>
    </w:p>
    <w:p>
      <w:pPr>
        <w:spacing w:after="120"/>
      </w:pPr>
      <w:r>
        <w:t xml:space="preserve">Annual top-down risk assessment of financial reporting risks at the assertion level (existence, completeness, accuracy, valuation, cut-off, presentation). Maintained in the Risk Register tab.</w:t>
      </w:r>
    </w:p>
    <w:p>
      <w:pPr>
        <w:pStyle w:val="Heading2"/>
      </w:pPr>
      <w:r>
        <w:t xml:space="preserve">4.3 Control activities</w:t>
      </w:r>
    </w:p>
    <w:p>
      <w:pPr>
        <w:spacing w:after="120"/>
      </w:pPr>
      <w:r>
        <w:t xml:space="preserve">Mix of preventive (e.g. approval limits, system blocks) and detective (e.g. reconciliations, exception reports) controls. Documented in the Controls Matrix tab.</w:t>
      </w:r>
    </w:p>
    <w:p>
      <w:pPr>
        <w:pStyle w:val="Heading2"/>
      </w:pPr>
      <w:r>
        <w:t xml:space="preserve">4.4 Information and communication</w:t>
      </w:r>
    </w:p>
    <w:p>
      <w:pPr>
        <w:spacing w:after="120"/>
      </w:pPr>
      <w:r>
        <w:t xml:space="preserve">Quality of source data, master data governance and reporting cadence to management and the board.</w:t>
      </w:r>
    </w:p>
    <w:p>
      <w:pPr>
        <w:pStyle w:val="Heading2"/>
      </w:pPr>
      <w:r>
        <w:t xml:space="preserve">4.5 Monitoring</w:t>
      </w:r>
    </w:p>
    <w:p>
      <w:pPr>
        <w:spacing w:after="120"/>
      </w:pPr>
      <w:r>
        <w:t xml:space="preserve">Quarterly testing of key controls, monthly review of findings and quarterly reporting to the board / audit committee.</w:t>
      </w:r>
    </w:p>
    <w:p>
      <w:pPr>
        <w:pStyle w:val="Heading1"/>
      </w:pPr>
      <w:r>
        <w:t xml:space="preserve">5. Methodology</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08"/>
      </w:tblGrid>
      <w:tr>
        <w:tc>
          <w:tcPr>
            <w:tcW w:type="dxa" w:w="3008"/>
            <w:tcBorders>
              <w:top w:val="single" w:color="CCCCCC" w:sz="4"/>
              <w:left w:val="single" w:color="CCCCCC" w:sz="4"/>
              <w:bottom w:val="single" w:color="CCCCCC" w:sz="4"/>
              <w:right w:val="single" w:color="CCCCCC" w:sz="4"/>
            </w:tcBorders>
            <w:shd w:fill="1E2761" w:val="clear"/>
            <w:tcMar>
              <w:top w:type="dxa" w:w="80"/>
              <w:left w:type="dxa" w:w="120"/>
              <w:bottom w:type="dxa" w:w="80"/>
              <w:right w:type="dxa" w:w="120"/>
            </w:tcMar>
          </w:tcPr>
          <w:p>
            <w:r>
              <w:rPr>
                <w:b/>
                <w:bCs/>
                <w:color w:val="FFFFFF"/>
                <w:sz w:val="18"/>
                <w:szCs w:val="18"/>
              </w:rPr>
              <w:t xml:space="preserve">Step</w:t>
            </w:r>
          </w:p>
        </w:tc>
        <w:tc>
          <w:tcPr>
            <w:tcW w:type="dxa" w:w="3008"/>
            <w:tcBorders>
              <w:top w:val="single" w:color="CCCCCC" w:sz="4"/>
              <w:left w:val="single" w:color="CCCCCC" w:sz="4"/>
              <w:bottom w:val="single" w:color="CCCCCC" w:sz="4"/>
              <w:right w:val="single" w:color="CCCCCC" w:sz="4"/>
            </w:tcBorders>
            <w:shd w:fill="1E2761" w:val="clear"/>
            <w:tcMar>
              <w:top w:type="dxa" w:w="80"/>
              <w:left w:type="dxa" w:w="120"/>
              <w:bottom w:type="dxa" w:w="80"/>
              <w:right w:type="dxa" w:w="120"/>
            </w:tcMar>
          </w:tcPr>
          <w:p>
            <w:r>
              <w:rPr>
                <w:b/>
                <w:bCs/>
                <w:color w:val="FFFFFF"/>
                <w:sz w:val="18"/>
                <w:szCs w:val="18"/>
              </w:rPr>
              <w:t xml:space="preserve">Activity</w:t>
            </w:r>
          </w:p>
        </w:tc>
        <w:tc>
          <w:tcPr>
            <w:tcW w:type="dxa" w:w="3008"/>
            <w:tcBorders>
              <w:top w:val="single" w:color="CCCCCC" w:sz="4"/>
              <w:left w:val="single" w:color="CCCCCC" w:sz="4"/>
              <w:bottom w:val="single" w:color="CCCCCC" w:sz="4"/>
              <w:right w:val="single" w:color="CCCCCC" w:sz="4"/>
            </w:tcBorders>
            <w:shd w:fill="1E2761" w:val="clear"/>
            <w:tcMar>
              <w:top w:type="dxa" w:w="80"/>
              <w:left w:type="dxa" w:w="120"/>
              <w:bottom w:type="dxa" w:w="80"/>
              <w:right w:type="dxa" w:w="120"/>
            </w:tcMar>
          </w:tcPr>
          <w:p>
            <w:r>
              <w:rPr>
                <w:b/>
                <w:bCs/>
                <w:color w:val="FFFFFF"/>
                <w:sz w:val="18"/>
                <w:szCs w:val="18"/>
              </w:rPr>
              <w:t xml:space="preserve">Output</w:t>
            </w:r>
          </w:p>
        </w:tc>
      </w:tr>
      <w:tr>
        <w:tc>
          <w:tcPr>
            <w:tcW w:type="dxa" w:w="3008"/>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b w:val="false"/>
                <w:bCs w:val="false"/>
                <w:color w:val="000000"/>
                <w:sz w:val="18"/>
                <w:szCs w:val="18"/>
              </w:rPr>
              <w:t xml:space="preserve">1</w:t>
            </w:r>
          </w:p>
        </w:tc>
        <w:tc>
          <w:tcPr>
            <w:tcW w:type="dxa" w:w="3008"/>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b w:val="false"/>
                <w:bCs w:val="false"/>
                <w:color w:val="000000"/>
                <w:sz w:val="18"/>
                <w:szCs w:val="18"/>
              </w:rPr>
              <w:t xml:space="preserve">Identify financial reporting risks</w:t>
            </w:r>
          </w:p>
        </w:tc>
        <w:tc>
          <w:tcPr>
            <w:tcW w:type="dxa" w:w="3008"/>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b w:val="false"/>
                <w:bCs w:val="false"/>
                <w:color w:val="000000"/>
                <w:sz w:val="18"/>
                <w:szCs w:val="18"/>
              </w:rPr>
              <w:t xml:space="preserve">Risk Register</w:t>
            </w:r>
          </w:p>
        </w:tc>
      </w:tr>
      <w:tr>
        <w:tc>
          <w:tcPr>
            <w:tcW w:type="dxa" w:w="3008"/>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b w:val="false"/>
                <w:bCs w:val="false"/>
                <w:color w:val="000000"/>
                <w:sz w:val="18"/>
                <w:szCs w:val="18"/>
              </w:rPr>
              <w:t xml:space="preserve">2</w:t>
            </w:r>
          </w:p>
        </w:tc>
        <w:tc>
          <w:tcPr>
            <w:tcW w:type="dxa" w:w="3008"/>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b w:val="false"/>
                <w:bCs w:val="false"/>
                <w:color w:val="000000"/>
                <w:sz w:val="18"/>
                <w:szCs w:val="18"/>
              </w:rPr>
              <w:t xml:space="preserve">Map controls to risks</w:t>
            </w:r>
          </w:p>
        </w:tc>
        <w:tc>
          <w:tcPr>
            <w:tcW w:type="dxa" w:w="3008"/>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b w:val="false"/>
                <w:bCs w:val="false"/>
                <w:color w:val="000000"/>
                <w:sz w:val="18"/>
                <w:szCs w:val="18"/>
              </w:rPr>
              <w:t xml:space="preserve">Controls Matrix</w:t>
            </w:r>
          </w:p>
        </w:tc>
      </w:tr>
      <w:tr>
        <w:tc>
          <w:tcPr>
            <w:tcW w:type="dxa" w:w="3008"/>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b w:val="false"/>
                <w:bCs w:val="false"/>
                <w:color w:val="000000"/>
                <w:sz w:val="18"/>
                <w:szCs w:val="18"/>
              </w:rPr>
              <w:t xml:space="preserve">3</w:t>
            </w:r>
          </w:p>
        </w:tc>
        <w:tc>
          <w:tcPr>
            <w:tcW w:type="dxa" w:w="3008"/>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b w:val="false"/>
                <w:bCs w:val="false"/>
                <w:color w:val="000000"/>
                <w:sz w:val="18"/>
                <w:szCs w:val="18"/>
              </w:rPr>
              <w:t xml:space="preserve">Walk one transaction per cycle</w:t>
            </w:r>
          </w:p>
        </w:tc>
        <w:tc>
          <w:tcPr>
            <w:tcW w:type="dxa" w:w="3008"/>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b w:val="false"/>
                <w:bCs w:val="false"/>
                <w:color w:val="000000"/>
                <w:sz w:val="18"/>
                <w:szCs w:val="18"/>
              </w:rPr>
              <w:t xml:space="preserve">Walkthrough Log</w:t>
            </w:r>
          </w:p>
        </w:tc>
      </w:tr>
      <w:tr>
        <w:tc>
          <w:tcPr>
            <w:tcW w:type="dxa" w:w="3008"/>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b w:val="false"/>
                <w:bCs w:val="false"/>
                <w:color w:val="000000"/>
                <w:sz w:val="18"/>
                <w:szCs w:val="18"/>
              </w:rPr>
              <w:t xml:space="preserve">4</w:t>
            </w:r>
          </w:p>
        </w:tc>
        <w:tc>
          <w:tcPr>
            <w:tcW w:type="dxa" w:w="3008"/>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b w:val="false"/>
                <w:bCs w:val="false"/>
                <w:color w:val="000000"/>
                <w:sz w:val="18"/>
                <w:szCs w:val="18"/>
              </w:rPr>
              <w:t xml:space="preserve">Define sampling and frequency</w:t>
            </w:r>
          </w:p>
        </w:tc>
        <w:tc>
          <w:tcPr>
            <w:tcW w:type="dxa" w:w="3008"/>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b w:val="false"/>
                <w:bCs w:val="false"/>
                <w:color w:val="000000"/>
                <w:sz w:val="18"/>
                <w:szCs w:val="18"/>
              </w:rPr>
              <w:t xml:space="preserve">Test Plan</w:t>
            </w:r>
          </w:p>
        </w:tc>
      </w:tr>
      <w:tr>
        <w:tc>
          <w:tcPr>
            <w:tcW w:type="dxa" w:w="3008"/>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b w:val="false"/>
                <w:bCs w:val="false"/>
                <w:color w:val="000000"/>
                <w:sz w:val="18"/>
                <w:szCs w:val="18"/>
              </w:rPr>
              <w:t xml:space="preserve">5</w:t>
            </w:r>
          </w:p>
        </w:tc>
        <w:tc>
          <w:tcPr>
            <w:tcW w:type="dxa" w:w="3008"/>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b w:val="false"/>
                <w:bCs w:val="false"/>
                <w:color w:val="000000"/>
                <w:sz w:val="18"/>
                <w:szCs w:val="18"/>
              </w:rPr>
              <w:t xml:space="preserve">Test key controls</w:t>
            </w:r>
          </w:p>
        </w:tc>
        <w:tc>
          <w:tcPr>
            <w:tcW w:type="dxa" w:w="3008"/>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b w:val="false"/>
                <w:bCs w:val="false"/>
                <w:color w:val="000000"/>
                <w:sz w:val="18"/>
                <w:szCs w:val="18"/>
              </w:rPr>
              <w:t xml:space="preserve">Test Results</w:t>
            </w:r>
          </w:p>
        </w:tc>
      </w:tr>
      <w:tr>
        <w:tc>
          <w:tcPr>
            <w:tcW w:type="dxa" w:w="3008"/>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b w:val="false"/>
                <w:bCs w:val="false"/>
                <w:color w:val="000000"/>
                <w:sz w:val="18"/>
                <w:szCs w:val="18"/>
              </w:rPr>
              <w:t xml:space="preserve">6</w:t>
            </w:r>
          </w:p>
        </w:tc>
        <w:tc>
          <w:tcPr>
            <w:tcW w:type="dxa" w:w="3008"/>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b w:val="false"/>
                <w:bCs w:val="false"/>
                <w:color w:val="000000"/>
                <w:sz w:val="18"/>
                <w:szCs w:val="18"/>
              </w:rPr>
              <w:t xml:space="preserve">Remediate exceptions</w:t>
            </w:r>
          </w:p>
        </w:tc>
        <w:tc>
          <w:tcPr>
            <w:tcW w:type="dxa" w:w="3008"/>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b w:val="false"/>
                <w:bCs w:val="false"/>
                <w:color w:val="000000"/>
                <w:sz w:val="18"/>
                <w:szCs w:val="18"/>
              </w:rPr>
              <w:t xml:space="preserve">Findings &amp; Remediation</w:t>
            </w:r>
          </w:p>
        </w:tc>
      </w:tr>
      <w:tr>
        <w:tc>
          <w:tcPr>
            <w:tcW w:type="dxa" w:w="3008"/>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b w:val="false"/>
                <w:bCs w:val="false"/>
                <w:color w:val="000000"/>
                <w:sz w:val="18"/>
                <w:szCs w:val="18"/>
              </w:rPr>
              <w:t xml:space="preserve">7</w:t>
            </w:r>
          </w:p>
        </w:tc>
        <w:tc>
          <w:tcPr>
            <w:tcW w:type="dxa" w:w="3008"/>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b w:val="false"/>
                <w:bCs w:val="false"/>
                <w:color w:val="000000"/>
                <w:sz w:val="18"/>
                <w:szCs w:val="18"/>
              </w:rPr>
              <w:t xml:space="preserve">Report status to board</w:t>
            </w:r>
          </w:p>
        </w:tc>
        <w:tc>
          <w:tcPr>
            <w:tcW w:type="dxa" w:w="3008"/>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b w:val="false"/>
                <w:bCs w:val="false"/>
                <w:color w:val="000000"/>
                <w:sz w:val="18"/>
                <w:szCs w:val="18"/>
              </w:rPr>
              <w:t xml:space="preserve">Board summary</w:t>
            </w:r>
          </w:p>
        </w:tc>
      </w:tr>
    </w:tbl>
    <w:p>
      <w:pPr>
        <w:pStyle w:val="Heading1"/>
      </w:pPr>
      <w:r>
        <w:t xml:space="preserve">6. Severity scale for findings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08"/>
      </w:tblGrid>
      <w:tr>
        <w:tc>
          <w:tcPr>
            <w:tcW w:type="dxa" w:w="3008"/>
            <w:tcBorders>
              <w:top w:val="single" w:color="CCCCCC" w:sz="4"/>
              <w:left w:val="single" w:color="CCCCCC" w:sz="4"/>
              <w:bottom w:val="single" w:color="CCCCCC" w:sz="4"/>
              <w:right w:val="single" w:color="CCCCCC" w:sz="4"/>
            </w:tcBorders>
            <w:shd w:fill="1E2761" w:val="clear"/>
            <w:tcMar>
              <w:top w:type="dxa" w:w="80"/>
              <w:left w:type="dxa" w:w="120"/>
              <w:bottom w:type="dxa" w:w="80"/>
              <w:right w:type="dxa" w:w="120"/>
            </w:tcMar>
          </w:tcPr>
          <w:p>
            <w:r>
              <w:rPr>
                <w:b/>
                <w:bCs/>
                <w:color w:val="FFFFFF"/>
                <w:sz w:val="18"/>
                <w:szCs w:val="18"/>
              </w:rPr>
              <w:t xml:space="preserve">Severity</w:t>
            </w:r>
          </w:p>
        </w:tc>
        <w:tc>
          <w:tcPr>
            <w:tcW w:type="dxa" w:w="3008"/>
            <w:tcBorders>
              <w:top w:val="single" w:color="CCCCCC" w:sz="4"/>
              <w:left w:val="single" w:color="CCCCCC" w:sz="4"/>
              <w:bottom w:val="single" w:color="CCCCCC" w:sz="4"/>
              <w:right w:val="single" w:color="CCCCCC" w:sz="4"/>
            </w:tcBorders>
            <w:shd w:fill="1E2761" w:val="clear"/>
            <w:tcMar>
              <w:top w:type="dxa" w:w="80"/>
              <w:left w:type="dxa" w:w="120"/>
              <w:bottom w:type="dxa" w:w="80"/>
              <w:right w:type="dxa" w:w="120"/>
            </w:tcMar>
          </w:tcPr>
          <w:p>
            <w:r>
              <w:rPr>
                <w:b/>
                <w:bCs/>
                <w:color w:val="FFFFFF"/>
                <w:sz w:val="18"/>
                <w:szCs w:val="18"/>
              </w:rPr>
              <w:t xml:space="preserve">Definition</w:t>
            </w:r>
          </w:p>
        </w:tc>
        <w:tc>
          <w:tcPr>
            <w:tcW w:type="dxa" w:w="3008"/>
            <w:tcBorders>
              <w:top w:val="single" w:color="CCCCCC" w:sz="4"/>
              <w:left w:val="single" w:color="CCCCCC" w:sz="4"/>
              <w:bottom w:val="single" w:color="CCCCCC" w:sz="4"/>
              <w:right w:val="single" w:color="CCCCCC" w:sz="4"/>
            </w:tcBorders>
            <w:shd w:fill="1E2761" w:val="clear"/>
            <w:tcMar>
              <w:top w:type="dxa" w:w="80"/>
              <w:left w:type="dxa" w:w="120"/>
              <w:bottom w:type="dxa" w:w="80"/>
              <w:right w:type="dxa" w:w="120"/>
            </w:tcMar>
          </w:tcPr>
          <w:p>
            <w:r>
              <w:rPr>
                <w:b/>
                <w:bCs/>
                <w:color w:val="FFFFFF"/>
                <w:sz w:val="18"/>
                <w:szCs w:val="18"/>
              </w:rPr>
              <w:t xml:space="preserve">Resolution target</w:t>
            </w:r>
          </w:p>
        </w:tc>
      </w:tr>
      <w:tr>
        <w:tc>
          <w:tcPr>
            <w:tcW w:type="dxa" w:w="3008"/>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b w:val="false"/>
                <w:bCs w:val="false"/>
                <w:color w:val="000000"/>
                <w:sz w:val="18"/>
                <w:szCs w:val="18"/>
              </w:rPr>
              <w:t xml:space="preserve">High</w:t>
            </w:r>
          </w:p>
        </w:tc>
        <w:tc>
          <w:tcPr>
            <w:tcW w:type="dxa" w:w="3008"/>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b w:val="false"/>
                <w:bCs w:val="false"/>
                <w:color w:val="000000"/>
                <w:sz w:val="18"/>
                <w:szCs w:val="18"/>
              </w:rPr>
              <w:t xml:space="preserve">Material weakness or fraud risk; material misstatement could occur and not be detected.</w:t>
            </w:r>
          </w:p>
        </w:tc>
        <w:tc>
          <w:tcPr>
            <w:tcW w:type="dxa" w:w="3008"/>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b w:val="false"/>
                <w:bCs w:val="false"/>
                <w:color w:val="000000"/>
                <w:sz w:val="18"/>
                <w:szCs w:val="18"/>
              </w:rPr>
              <w:t xml:space="preserve">30 days</w:t>
            </w:r>
          </w:p>
        </w:tc>
      </w:tr>
      <w:tr>
        <w:tc>
          <w:tcPr>
            <w:tcW w:type="dxa" w:w="3008"/>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b w:val="false"/>
                <w:bCs w:val="false"/>
                <w:color w:val="000000"/>
                <w:sz w:val="18"/>
                <w:szCs w:val="18"/>
              </w:rPr>
              <w:t xml:space="preserve">Medium</w:t>
            </w:r>
          </w:p>
        </w:tc>
        <w:tc>
          <w:tcPr>
            <w:tcW w:type="dxa" w:w="3008"/>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b w:val="false"/>
                <w:bCs w:val="false"/>
                <w:color w:val="000000"/>
                <w:sz w:val="18"/>
                <w:szCs w:val="18"/>
              </w:rPr>
              <w:t xml:space="preserve">Significant deficiency; control gap that could lead to error if uncorrected.</w:t>
            </w:r>
          </w:p>
        </w:tc>
        <w:tc>
          <w:tcPr>
            <w:tcW w:type="dxa" w:w="3008"/>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b w:val="false"/>
                <w:bCs w:val="false"/>
                <w:color w:val="000000"/>
                <w:sz w:val="18"/>
                <w:szCs w:val="18"/>
              </w:rPr>
              <w:t xml:space="preserve">60 days</w:t>
            </w:r>
          </w:p>
        </w:tc>
      </w:tr>
      <w:tr>
        <w:tc>
          <w:tcPr>
            <w:tcW w:type="dxa" w:w="3008"/>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b w:val="false"/>
                <w:bCs w:val="false"/>
                <w:color w:val="000000"/>
                <w:sz w:val="18"/>
                <w:szCs w:val="18"/>
              </w:rPr>
              <w:t xml:space="preserve">Low</w:t>
            </w:r>
          </w:p>
        </w:tc>
        <w:tc>
          <w:tcPr>
            <w:tcW w:type="dxa" w:w="3008"/>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b w:val="false"/>
                <w:bCs w:val="false"/>
                <w:color w:val="000000"/>
                <w:sz w:val="18"/>
                <w:szCs w:val="18"/>
              </w:rPr>
              <w:t xml:space="preserve">Minor housekeeping; documentation, evidence or efficiency.</w:t>
            </w:r>
          </w:p>
        </w:tc>
        <w:tc>
          <w:tcPr>
            <w:tcW w:type="dxa" w:w="3008"/>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b w:val="false"/>
                <w:bCs w:val="false"/>
                <w:color w:val="000000"/>
                <w:sz w:val="18"/>
                <w:szCs w:val="18"/>
              </w:rPr>
              <w:t xml:space="preserve">90 days</w:t>
            </w:r>
          </w:p>
        </w:tc>
      </w:tr>
    </w:tbl>
    <w:p>
      <w:pPr>
        <w:pStyle w:val="Heading1"/>
      </w:pPr>
      <w:r>
        <w:t xml:space="preserve">7. Key principles</w:t>
      </w:r>
    </w:p>
    <w:p>
      <w:pPr>
        <w:pStyle w:val="ListParagraph"/>
        <w:numPr>
          <w:ilvl w:val="0"/>
          <w:numId w:val="2"/>
        </w:numPr>
      </w:pPr>
      <w:r>
        <w:t xml:space="preserve">Segregation of duties: nobody initiates, approves and records the same transaction.</w:t>
      </w:r>
    </w:p>
    <w:p>
      <w:pPr>
        <w:pStyle w:val="ListParagraph"/>
        <w:numPr>
          <w:ilvl w:val="0"/>
          <w:numId w:val="2"/>
        </w:numPr>
      </w:pPr>
      <w:r>
        <w:t xml:space="preserve">Four-eyes principle on payments, journals and master data changes.</w:t>
      </w:r>
    </w:p>
    <w:p>
      <w:pPr>
        <w:pStyle w:val="ListParagraph"/>
        <w:numPr>
          <w:ilvl w:val="0"/>
          <w:numId w:val="2"/>
        </w:numPr>
      </w:pPr>
      <w:r>
        <w:t xml:space="preserve">Document everything – no control is in place if there is no evidence.</w:t>
      </w:r>
    </w:p>
    <w:p>
      <w:pPr>
        <w:pStyle w:val="ListParagraph"/>
        <w:numPr>
          <w:ilvl w:val="0"/>
          <w:numId w:val="2"/>
        </w:numPr>
      </w:pPr>
      <w:r>
        <w:t xml:space="preserve">Tone from the top – the CFO actively visible in the control culture.</w:t>
      </w:r>
    </w:p>
    <w:p>
      <w:pPr>
        <w:pStyle w:val="ListParagraph"/>
        <w:numPr>
          <w:ilvl w:val="0"/>
          <w:numId w:val="2"/>
        </w:numPr>
      </w:pPr>
      <w:r>
        <w:t xml:space="preserve">Continuous improvement – every finding is a chance to strengthen the system.</w:t>
      </w:r>
    </w:p>
    <w:p>
      <w:pPr>
        <w:pStyle w:val="Heading1"/>
      </w:pPr>
      <w:r>
        <w:t xml:space="preserve">8. Annual cycle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single" w:color="CCCCCC" w:sz="4"/>
              <w:left w:val="single" w:color="CCCCCC" w:sz="4"/>
              <w:bottom w:val="single" w:color="CCCCCC" w:sz="4"/>
              <w:right w:val="single" w:color="CCCCCC" w:sz="4"/>
            </w:tcBorders>
            <w:shd w:fill="1E2761" w:val="clear"/>
            <w:tcMar>
              <w:top w:type="dxa" w:w="80"/>
              <w:left w:type="dxa" w:w="120"/>
              <w:bottom w:type="dxa" w:w="80"/>
              <w:right w:type="dxa" w:w="120"/>
            </w:tcMar>
          </w:tcPr>
          <w:p>
            <w:r>
              <w:rPr>
                <w:b/>
                <w:bCs/>
                <w:color w:val="FFFFFF"/>
                <w:sz w:val="18"/>
                <w:szCs w:val="18"/>
              </w:rPr>
              <w:t xml:space="preserve">Quarter</w:t>
            </w:r>
          </w:p>
        </w:tc>
        <w:tc>
          <w:tcPr>
            <w:tcW w:type="dxa" w:w="4513"/>
            <w:tcBorders>
              <w:top w:val="single" w:color="CCCCCC" w:sz="4"/>
              <w:left w:val="single" w:color="CCCCCC" w:sz="4"/>
              <w:bottom w:val="single" w:color="CCCCCC" w:sz="4"/>
              <w:right w:val="single" w:color="CCCCCC" w:sz="4"/>
            </w:tcBorders>
            <w:shd w:fill="1E2761" w:val="clear"/>
            <w:tcMar>
              <w:top w:type="dxa" w:w="80"/>
              <w:left w:type="dxa" w:w="120"/>
              <w:bottom w:type="dxa" w:w="80"/>
              <w:right w:type="dxa" w:w="120"/>
            </w:tcMar>
          </w:tcPr>
          <w:p>
            <w:r>
              <w:rPr>
                <w:b/>
                <w:bCs/>
                <w:color w:val="FFFFFF"/>
                <w:sz w:val="18"/>
                <w:szCs w:val="18"/>
              </w:rPr>
              <w:t xml:space="preserve">Focus</w:t>
            </w:r>
          </w:p>
        </w:tc>
      </w:tr>
      <w:tr>
        <w:tc>
          <w:tcPr>
            <w:tcW w:type="dxa" w:w="4513"/>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b w:val="false"/>
                <w:bCs w:val="false"/>
                <w:color w:val="000000"/>
                <w:sz w:val="18"/>
                <w:szCs w:val="18"/>
              </w:rPr>
              <w:t xml:space="preserve">Q1</w:t>
            </w:r>
          </w:p>
        </w:tc>
        <w:tc>
          <w:tcPr>
            <w:tcW w:type="dxa" w:w="4513"/>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b w:val="false"/>
                <w:bCs w:val="false"/>
                <w:color w:val="000000"/>
                <w:sz w:val="18"/>
                <w:szCs w:val="18"/>
              </w:rPr>
              <w:t xml:space="preserve">Refresh risk register and controls matrix; plan year's testing.</w:t>
            </w:r>
          </w:p>
        </w:tc>
      </w:tr>
      <w:tr>
        <w:tc>
          <w:tcPr>
            <w:tcW w:type="dxa" w:w="4513"/>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b w:val="false"/>
                <w:bCs w:val="false"/>
                <w:color w:val="000000"/>
                <w:sz w:val="18"/>
                <w:szCs w:val="18"/>
              </w:rPr>
              <w:t xml:space="preserve">Q2</w:t>
            </w:r>
          </w:p>
        </w:tc>
        <w:tc>
          <w:tcPr>
            <w:tcW w:type="dxa" w:w="4513"/>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b w:val="false"/>
                <w:bCs w:val="false"/>
                <w:color w:val="000000"/>
                <w:sz w:val="18"/>
                <w:szCs w:val="18"/>
              </w:rPr>
              <w:t xml:space="preserve">Walkthroughs (cycles 1-3); first round of testing.</w:t>
            </w:r>
          </w:p>
        </w:tc>
      </w:tr>
      <w:tr>
        <w:tc>
          <w:tcPr>
            <w:tcW w:type="dxa" w:w="4513"/>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b w:val="false"/>
                <w:bCs w:val="false"/>
                <w:color w:val="000000"/>
                <w:sz w:val="18"/>
                <w:szCs w:val="18"/>
              </w:rPr>
              <w:t xml:space="preserve">Q3</w:t>
            </w:r>
          </w:p>
        </w:tc>
        <w:tc>
          <w:tcPr>
            <w:tcW w:type="dxa" w:w="4513"/>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b w:val="false"/>
                <w:bCs w:val="false"/>
                <w:color w:val="000000"/>
                <w:sz w:val="18"/>
                <w:szCs w:val="18"/>
              </w:rPr>
              <w:t xml:space="preserve">Walkthroughs (cycles 4-6); second round of testing.</w:t>
            </w:r>
          </w:p>
        </w:tc>
      </w:tr>
      <w:tr>
        <w:tc>
          <w:tcPr>
            <w:tcW w:type="dxa" w:w="4513"/>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b w:val="false"/>
                <w:bCs w:val="false"/>
                <w:color w:val="000000"/>
                <w:sz w:val="18"/>
                <w:szCs w:val="18"/>
              </w:rPr>
              <w:t xml:space="preserve">Q4</w:t>
            </w:r>
          </w:p>
        </w:tc>
        <w:tc>
          <w:tcPr>
            <w:tcW w:type="dxa" w:w="4513"/>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b w:val="false"/>
                <w:bCs w:val="false"/>
                <w:color w:val="000000"/>
                <w:sz w:val="18"/>
                <w:szCs w:val="18"/>
              </w:rPr>
              <w:t xml:space="preserve">Final testing; remediation status; annual summary to board.</w:t>
            </w:r>
          </w:p>
        </w:tc>
      </w:tr>
    </w:tbl>
    <w:p>
      <w:pPr>
        <w:pStyle w:val="Heading1"/>
      </w:pPr>
      <w:r>
        <w:t xml:space="preserve">9. Disclaimer</w:t>
      </w:r>
    </w:p>
    <w:p>
      <w:pPr>
        <w:spacing w:after="120"/>
      </w:pPr>
      <w:r>
        <w:rPr>
          <w:i/>
          <w:iCs/>
          <w:color w:val="555555"/>
          <w:sz w:val="18"/>
          <w:szCs w:val="18"/>
        </w:rPr>
        <w:t xml:space="preserve">This framework is provided for general informational and illustrative purposes only. It does not constitute financial, legal, or professional advice. The creator accepts no liability for decisions made based on the framework. Users are solely responsible for verifying accuracy, completeness and compliance with applicable laws, accounting standards and regulations.</w:t>
      </w:r>
    </w:p>
    <w:p>
      <w:pPr>
        <w:pStyle w:val="Heading1"/>
      </w:pPr>
      <w:r>
        <w:t xml:space="preserve">10. License</w:t>
      </w:r>
    </w:p>
    <w:p>
      <w:pPr>
        <w:spacing w:after="120"/>
      </w:pPr>
      <w:r>
        <w:rPr>
          <w:color w:val="555555"/>
          <w:sz w:val="18"/>
          <w:szCs w:val="18"/>
        </w:rPr>
        <w:t xml:space="preserve">Copyright © CFO Eyes. All rights reserved. This document is licensed to the original purchaser for a single user / single company under a non-transferable, non-exclusive license for internal use only. Resale, sub-licensing, sharing, publishing or other distribution to third parties — in original or modified form — is prohibited. A team / multi-company license is available — contact fredrik@cfoeyes.com.</w:t>
      </w:r>
    </w:p>
    <w:sectPr>
      <w:headerReference w:type="default" r:id="rId7"/>
      <w:pgNumType/>
      <w:docGrid w:linePitch="360"/>
      <w:footerReference xmlns:r="http://schemas.openxmlformats.org/officeDocument/2006/relationships" w:type="default" r:id="rId10"/>
      <w:footerReference xmlns:r="http://schemas.openxmlformats.org/officeDocument/2006/relationships" w:type="default" r:id="rId11"/>
      <w:footerReference xmlns:r="http://schemas.openxmlformats.org/officeDocument/2006/relationships" w:type="default" r:id="rId12"/>
      <w:pgSz w:w="11906" w:h="16838"/>
      <w:pgMar w:top="1134" w:right="1134" w:bottom="1134" w:left="1134" w:header="567" w:footer="567" w:gutter="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26"/>
      </w:tabs>
    </w:pPr>
    <w:r>
      <w:rPr>
        <w:color w:val="888888"/>
        <w:sz w:val="14"/>
        <w:szCs w:val="14"/>
      </w:rPr>
      <w:t xml:space="preserve">© CFO Eyes – Single-user license. Redistribution prohibited. fredrik@cfoeyes.com</w:t>
    </w:r>
    <w:r>
      <w:rPr>
        <w:color w:val="888888"/>
        <w:sz w:val="14"/>
        <w:szCs w:val="14"/>
      </w:rPr>
      <w:t xml:space="preserve">	Page </w:t>
    </w:r>
    <w:r>
      <w:rPr>
        <w:color w:val="888888"/>
        <w:sz w:val="14"/>
        <w:szCs w:val="14"/>
      </w:rPr>
      <w:fldChar w:fldCharType="begin"/>
      <w:instrText xml:space="preserve">PAGE</w:instrText>
      <w:fldChar w:fldCharType="separate"/>
      <w:fldChar w:fldCharType="end"/>
    </w:r>
  </w:p>
</w:ftr>
</file>

<file path=word/footer_cfo.xml><?xml version="1.0" encoding="utf-8"?>
<w:ftr xmlns:w="http://schemas.openxmlformats.org/wordprocessingml/2006/main">
  <w:p>
    <w:pPr>
      <w:jc w:val="center"/>
      <w:rPr>
        <w:sz w:val="14"/>
        <w:color w:val="808080"/>
      </w:rPr>
    </w:pPr>
    <w:r>
      <w:rPr>
        <w:sz w:val="14"/>
        <w:color w:val="808080"/>
      </w:rPr>
      <w:t xml:space="preserve">© 2026 CFO Eyes – Licensed for use within the purchasing organisation only. Not for redistribution.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color w:val="888888"/>
        <w:sz w:val="16"/>
        <w:szCs w:val="16"/>
      </w:rPr>
      <w:t xml:space="preserve">Internal Controls Framework – CFO Eyes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320"/>
      <w:outlineLvl w:val="0"/>
    </w:pPr>
    <w:rPr>
      <w:rFonts w:ascii="Calibri" w:cs="Calibri" w:eastAsia="Calibri" w:hAnsi="Calibri"/>
      <w:b/>
      <w:bCs/>
      <w:color w:val="1E2761"/>
      <w:sz w:val="36"/>
      <w:szCs w:val="36"/>
    </w:rPr>
  </w:style>
  <w:style w:type="paragraph" w:styleId="Heading2">
    <w:name w:val="Heading 2"/>
    <w:basedOn w:val="Normal"/>
    <w:next w:val="Normal"/>
    <w:qFormat/>
    <w:pPr>
      <w:spacing w:after="120" w:before="240"/>
      <w:outlineLvl w:val="1"/>
    </w:pPr>
    <w:rPr>
      <w:rFonts w:ascii="Calibri" w:cs="Calibri" w:eastAsia="Calibri" w:hAnsi="Calibri"/>
      <w:b/>
      <w:bCs/>
      <w:color w:val="1E2761"/>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footer" Target="footer_cfo.xml"/><Relationship Id="rId11" Type="http://schemas.openxmlformats.org/officeDocument/2006/relationships/footer" Target="footer_cfo.xml"/><Relationship Id="rId12" Type="http://schemas.openxmlformats.org/officeDocument/2006/relationships/footer" Target="footer_cfo.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Internal Controls Framework</dc:title>
  <dc:subject>ICFR framework for SMEs</dc:subject>
  <dc:creator>CFO Eyes</dc:creator>
  <cp:lastModifiedBy>Un-named</cp:lastModifiedBy>
  <cp:revision>1</cp:revision>
  <dcterms:created xsi:type="dcterms:W3CDTF">2026-05-10T17:43:05.763Z</dcterms:created>
  <dcterms:modified xsi:type="dcterms:W3CDTF">2026-05-10T17:43:05.763Z</dcterms:modified>
</cp:coreProperties>
</file>

<file path=docProps/custom.xml><?xml version="1.0" encoding="utf-8"?>
<Properties xmlns="http://schemas.openxmlformats.org/officeDocument/2006/custom-properties" xmlns:vt="http://schemas.openxmlformats.org/officeDocument/2006/docPropsVTypes"/>
</file>